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EA43" w14:textId="77777777" w:rsidR="006E2382" w:rsidRPr="00777776" w:rsidRDefault="006E2382" w:rsidP="006E2382">
      <w:pPr>
        <w:pStyle w:val="P68B1DB1-Normale1"/>
        <w:pBdr>
          <w:top w:val="none" w:sz="0" w:space="0" w:color="auto"/>
          <w:left w:val="none" w:sz="0" w:space="0" w:color="auto"/>
          <w:bottom w:val="none" w:sz="0" w:space="0" w:color="auto"/>
          <w:right w:val="none" w:sz="0" w:space="0" w:color="auto"/>
          <w:between w:val="none" w:sz="0" w:space="0" w:color="auto"/>
          <w:bar w:val="none" w:sz="0" w:color="auto"/>
        </w:pBdr>
        <w:spacing w:before="480"/>
        <w:jc w:val="left"/>
        <w:outlineLvl w:val="0"/>
      </w:pPr>
      <w:r>
        <w:t>Theory and Technique of the Relational Interview</w:t>
      </w:r>
    </w:p>
    <w:p w14:paraId="22BFB536" w14:textId="3014B67C" w:rsidR="008F26C1" w:rsidRPr="008F26C1" w:rsidRDefault="00092001" w:rsidP="008F26C1">
      <w:pPr>
        <w:pStyle w:val="Titolo2"/>
        <w:spacing w:after="240"/>
        <w:rPr>
          <w:rFonts w:ascii="Times New Roman" w:hAnsi="Times New Roman"/>
          <w:lang w:val="it-IT"/>
        </w:rPr>
      </w:pPr>
      <w:r w:rsidRPr="008F26C1">
        <w:rPr>
          <w:rFonts w:ascii="Times New Roman" w:hAnsi="Times New Roman"/>
          <w:lang w:val="it-IT"/>
        </w:rPr>
        <w:t>Prof. Marialuisa Gennari; Prof. Sara Molgora</w:t>
      </w:r>
    </w:p>
    <w:p w14:paraId="24B61518" w14:textId="77777777" w:rsidR="00A95138" w:rsidRPr="004A7871" w:rsidRDefault="00A95138" w:rsidP="00A95138">
      <w:pPr>
        <w:pStyle w:val="Titolo2"/>
        <w:spacing w:before="240" w:after="120"/>
        <w:rPr>
          <w:rFonts w:ascii="Times New Roman" w:hAnsi="Times New Roman" w:cs="Times New Roman"/>
        </w:rPr>
      </w:pPr>
      <w:r>
        <w:rPr>
          <w:rFonts w:ascii="Times New Roman" w:hAnsi="Times New Roman"/>
          <w:b/>
          <w:i/>
        </w:rPr>
        <w:t>COURSE AIMS AND INTENDED LEARNING OUTCOMES</w:t>
      </w:r>
    </w:p>
    <w:p w14:paraId="78540684" w14:textId="77777777" w:rsidR="00A95138" w:rsidRPr="00A95138" w:rsidRDefault="00A95138" w:rsidP="00A95138">
      <w:pPr>
        <w:rPr>
          <w:rFonts w:cs="Times New Roman"/>
          <w:szCs w:val="18"/>
        </w:rPr>
      </w:pPr>
      <w:r>
        <w:t>The course aims to:</w:t>
      </w:r>
    </w:p>
    <w:p w14:paraId="4A8AFD20" w14:textId="370F9BC2" w:rsidR="00A95138" w:rsidRPr="00A95138" w:rsidRDefault="00A95138" w:rsidP="00A95138">
      <w:pPr>
        <w:ind w:left="284"/>
        <w:rPr>
          <w:rFonts w:cs="Times New Roman"/>
          <w:szCs w:val="18"/>
        </w:rPr>
      </w:pPr>
      <w:r>
        <w:t>–</w:t>
      </w:r>
      <w:r>
        <w:tab/>
        <w:t>introduce the aspects and the dynamics at the basis of clinical reports;</w:t>
      </w:r>
    </w:p>
    <w:p w14:paraId="511D822D" w14:textId="35758BDD" w:rsidR="00A95138" w:rsidRPr="00A95138" w:rsidRDefault="00A95138" w:rsidP="00A95138">
      <w:pPr>
        <w:ind w:left="284"/>
        <w:rPr>
          <w:rFonts w:cs="Times New Roman"/>
          <w:szCs w:val="18"/>
        </w:rPr>
      </w:pPr>
      <w:r>
        <w:t>–</w:t>
      </w:r>
      <w:r>
        <w:tab/>
        <w:t xml:space="preserve">illustrate the key elements that, in different contexts, make it possible for two or more individuals to have a significant exchange, able to produce </w:t>
      </w:r>
      <w:r w:rsidR="009123BE">
        <w:t xml:space="preserve">a </w:t>
      </w:r>
      <w:r>
        <w:t>demand for care and define its features;</w:t>
      </w:r>
    </w:p>
    <w:p w14:paraId="7417D21C" w14:textId="0BB25899" w:rsidR="00A95138" w:rsidRPr="00A95138" w:rsidRDefault="00A95138" w:rsidP="00A95138">
      <w:pPr>
        <w:ind w:left="284"/>
        <w:rPr>
          <w:rFonts w:cs="Times New Roman"/>
          <w:szCs w:val="18"/>
        </w:rPr>
      </w:pPr>
      <w:r>
        <w:t>–</w:t>
      </w:r>
      <w:r>
        <w:tab/>
        <w:t xml:space="preserve">show in which settings clinical reports can </w:t>
      </w:r>
      <w:r w:rsidR="009123BE">
        <w:t>take place</w:t>
      </w:r>
      <w:r>
        <w:t xml:space="preserve">, their limits and resources, as well as the changes that can derive from them;  </w:t>
      </w:r>
    </w:p>
    <w:p w14:paraId="50E46D3D" w14:textId="16E2FAEF" w:rsidR="00A95138" w:rsidRPr="00A95138" w:rsidRDefault="00A95138" w:rsidP="00A95138">
      <w:pPr>
        <w:ind w:left="284"/>
        <w:rPr>
          <w:rFonts w:cs="Times New Roman"/>
          <w:szCs w:val="18"/>
        </w:rPr>
      </w:pPr>
      <w:r>
        <w:t>–</w:t>
      </w:r>
      <w:r>
        <w:tab/>
        <w:t xml:space="preserve">assess - through the presentation and discussion of </w:t>
      </w:r>
      <w:r w:rsidR="005A0776">
        <w:t>clinical cases</w:t>
      </w:r>
      <w:r>
        <w:t xml:space="preserve"> - the methods for the management of clinical interviews, according to the theoretical and methodological contributions that can be found in literature.</w:t>
      </w:r>
    </w:p>
    <w:p w14:paraId="31206635" w14:textId="77777777" w:rsidR="00A95138" w:rsidRPr="00A95138" w:rsidRDefault="00A95138" w:rsidP="00C1134F">
      <w:pPr>
        <w:spacing w:before="120"/>
        <w:rPr>
          <w:rFonts w:cs="Times New Roman"/>
          <w:i/>
          <w:szCs w:val="18"/>
        </w:rPr>
      </w:pPr>
      <w:r>
        <w:rPr>
          <w:i/>
        </w:rPr>
        <w:t>Knowledge and Understanding</w:t>
      </w:r>
    </w:p>
    <w:p w14:paraId="42FDCA68" w14:textId="3B172207" w:rsidR="00A95138" w:rsidRPr="00A95138" w:rsidRDefault="002C177A" w:rsidP="00A95138">
      <w:pPr>
        <w:ind w:firstLine="284"/>
        <w:rPr>
          <w:rFonts w:cs="Times New Roman"/>
          <w:iCs/>
          <w:szCs w:val="18"/>
        </w:rPr>
      </w:pPr>
      <w:r>
        <w:t>The theories, methods, and objectives at the basis of clinical-relational interviews and their peculiarity compared to other forms of interviews:</w:t>
      </w:r>
    </w:p>
    <w:p w14:paraId="1D4AD8BE" w14:textId="77777777" w:rsidR="00A95138" w:rsidRPr="00A95138" w:rsidRDefault="00A95138" w:rsidP="00A95138">
      <w:pPr>
        <w:ind w:firstLine="284"/>
        <w:rPr>
          <w:rFonts w:cs="Times New Roman"/>
          <w:iCs/>
          <w:szCs w:val="18"/>
        </w:rPr>
      </w:pPr>
      <w:r>
        <w:t xml:space="preserve">1) welcoming and listening to people in their complexity, understanding their requests and the reasons on which they are based; </w:t>
      </w:r>
    </w:p>
    <w:p w14:paraId="07F4902B" w14:textId="451187AB" w:rsidR="007B190F" w:rsidRPr="00A95138" w:rsidRDefault="00A95138" w:rsidP="00C1134F">
      <w:pPr>
        <w:ind w:firstLine="284"/>
        <w:rPr>
          <w:rFonts w:cs="Times New Roman"/>
          <w:iCs/>
          <w:szCs w:val="18"/>
        </w:rPr>
      </w:pPr>
      <w:r>
        <w:t>2) from the request to the demand for care: the transference dynamic at the basis of the care relationship.</w:t>
      </w:r>
    </w:p>
    <w:p w14:paraId="4FC64EF8" w14:textId="77777777" w:rsidR="00A95138" w:rsidRPr="00A95138" w:rsidRDefault="00A95138" w:rsidP="00C1134F">
      <w:pPr>
        <w:spacing w:before="120"/>
        <w:rPr>
          <w:rFonts w:cs="Times New Roman"/>
          <w:i/>
          <w:szCs w:val="18"/>
        </w:rPr>
      </w:pPr>
      <w:r>
        <w:rPr>
          <w:i/>
        </w:rPr>
        <w:t>Ability to apply knowledge and understanding</w:t>
      </w:r>
    </w:p>
    <w:p w14:paraId="05D056A4" w14:textId="6F19445F" w:rsidR="00A95138" w:rsidRPr="00A95138" w:rsidRDefault="00A95138" w:rsidP="00A95138">
      <w:pPr>
        <w:ind w:firstLine="284"/>
        <w:rPr>
          <w:rFonts w:cs="Times New Roman"/>
          <w:iCs/>
          <w:szCs w:val="18"/>
        </w:rPr>
      </w:pPr>
      <w:r>
        <w:t>1)</w:t>
      </w:r>
      <w:r>
        <w:tab/>
        <w:t xml:space="preserve">Conducting an interview according to the structural and cultural variables of the </w:t>
      </w:r>
      <w:r w:rsidR="005A0776">
        <w:t>person</w:t>
      </w:r>
      <w:r>
        <w:t xml:space="preserve"> making a request and the specialist, the importance and variability of the setting.</w:t>
      </w:r>
    </w:p>
    <w:p w14:paraId="1792F309" w14:textId="54DD339A" w:rsidR="003F1BA3" w:rsidRPr="00A95138" w:rsidRDefault="00A95138" w:rsidP="00C1134F">
      <w:pPr>
        <w:ind w:firstLine="284"/>
        <w:rPr>
          <w:rFonts w:cs="Times New Roman"/>
          <w:iCs/>
          <w:szCs w:val="18"/>
        </w:rPr>
      </w:pPr>
      <w:r>
        <w:t>2)</w:t>
      </w:r>
      <w:r>
        <w:tab/>
        <w:t xml:space="preserve">From the demand for care to the definition of the objectives of clinical work: the relational contract. </w:t>
      </w:r>
    </w:p>
    <w:p w14:paraId="09076957" w14:textId="77777777" w:rsidR="00A95138" w:rsidRPr="00A95138" w:rsidRDefault="00A95138" w:rsidP="00C1134F">
      <w:pPr>
        <w:spacing w:before="120"/>
        <w:rPr>
          <w:rFonts w:cs="Times New Roman"/>
          <w:i/>
          <w:szCs w:val="18"/>
        </w:rPr>
      </w:pPr>
      <w:r>
        <w:rPr>
          <w:i/>
        </w:rPr>
        <w:t>Communication skills</w:t>
      </w:r>
    </w:p>
    <w:p w14:paraId="2D57DF96" w14:textId="441A6BDC" w:rsidR="00A95138" w:rsidRPr="00A95138" w:rsidRDefault="007B190F" w:rsidP="00A95138">
      <w:pPr>
        <w:ind w:firstLine="284"/>
        <w:rPr>
          <w:rFonts w:cs="Times New Roman"/>
          <w:iCs/>
          <w:szCs w:val="18"/>
        </w:rPr>
      </w:pPr>
      <w:r>
        <w:t>1)</w:t>
      </w:r>
      <w:r>
        <w:tab/>
        <w:t>Clinical listening.</w:t>
      </w:r>
    </w:p>
    <w:p w14:paraId="1F293B76" w14:textId="656AFF9E" w:rsidR="00A95138" w:rsidRPr="00A95138" w:rsidRDefault="007B190F" w:rsidP="00C1134F">
      <w:pPr>
        <w:ind w:firstLine="284"/>
        <w:rPr>
          <w:rFonts w:cs="Times New Roman"/>
          <w:iCs/>
          <w:szCs w:val="18"/>
        </w:rPr>
      </w:pPr>
      <w:r>
        <w:t>2)</w:t>
      </w:r>
      <w:r>
        <w:tab/>
        <w:t>The ethics of intervention and scientific perspective: the clinical discourse.</w:t>
      </w:r>
    </w:p>
    <w:p w14:paraId="0BDAD9AA" w14:textId="77777777" w:rsidR="00A95138" w:rsidRPr="00663648" w:rsidRDefault="00A95138" w:rsidP="00A95138">
      <w:pPr>
        <w:spacing w:before="240" w:after="120"/>
        <w:rPr>
          <w:rFonts w:cs="Times New Roman"/>
          <w:b/>
          <w:bCs/>
          <w:i/>
          <w:iCs/>
          <w:sz w:val="18"/>
          <w:szCs w:val="18"/>
        </w:rPr>
      </w:pPr>
      <w:bookmarkStart w:id="0" w:name="_Hlk40439219"/>
      <w:r>
        <w:rPr>
          <w:b/>
          <w:i/>
          <w:sz w:val="18"/>
        </w:rPr>
        <w:t xml:space="preserve">COURSE </w:t>
      </w:r>
      <w:bookmarkEnd w:id="0"/>
      <w:r>
        <w:rPr>
          <w:b/>
          <w:i/>
          <w:sz w:val="18"/>
        </w:rPr>
        <w:t>CONTENT</w:t>
      </w:r>
    </w:p>
    <w:p w14:paraId="5AC6E915" w14:textId="075BBFBA" w:rsidR="001074E1" w:rsidRDefault="00A95138" w:rsidP="00A95138">
      <w:pPr>
        <w:rPr>
          <w:rFonts w:cs="Times New Roman"/>
          <w:i/>
          <w:szCs w:val="18"/>
        </w:rPr>
      </w:pPr>
      <w:r>
        <w:rPr>
          <w:i/>
        </w:rPr>
        <w:t>MODULE 1 The foundations of the relational interview</w:t>
      </w:r>
    </w:p>
    <w:p w14:paraId="0B32E78B" w14:textId="6B5F998B" w:rsidR="001074E1" w:rsidRPr="00A95138" w:rsidRDefault="001074E1" w:rsidP="00C1134F">
      <w:pPr>
        <w:ind w:left="284"/>
        <w:rPr>
          <w:rFonts w:cs="Times New Roman"/>
          <w:iCs/>
          <w:szCs w:val="18"/>
        </w:rPr>
      </w:pPr>
      <w:r>
        <w:t xml:space="preserve">Unit 1 The complexity and alterity of the actors involved in the clinical encounter: </w:t>
      </w:r>
      <w:r w:rsidR="005A0776">
        <w:t xml:space="preserve">the </w:t>
      </w:r>
      <w:r>
        <w:t xml:space="preserve">building </w:t>
      </w:r>
      <w:r w:rsidR="005A0776">
        <w:t xml:space="preserve">of </w:t>
      </w:r>
      <w:r>
        <w:t>a relationship.</w:t>
      </w:r>
    </w:p>
    <w:p w14:paraId="6A60CCD4" w14:textId="28CA0DAF" w:rsidR="00A95138" w:rsidRPr="00A95138" w:rsidRDefault="00A95138" w:rsidP="00A95138">
      <w:pPr>
        <w:ind w:firstLine="284"/>
        <w:rPr>
          <w:rFonts w:cs="Times New Roman"/>
          <w:iCs/>
          <w:szCs w:val="18"/>
        </w:rPr>
      </w:pPr>
      <w:r>
        <w:t>Unit 2 Understanding the request.</w:t>
      </w:r>
    </w:p>
    <w:p w14:paraId="4EF10180" w14:textId="6A7BB0B0" w:rsidR="00A95138" w:rsidRPr="00A95138" w:rsidRDefault="00A95138" w:rsidP="00A95138">
      <w:pPr>
        <w:ind w:firstLine="284"/>
        <w:rPr>
          <w:rFonts w:cs="Times New Roman"/>
          <w:iCs/>
          <w:szCs w:val="18"/>
        </w:rPr>
      </w:pPr>
      <w:r>
        <w:t>Unit 3 The work setting and technical choices.</w:t>
      </w:r>
    </w:p>
    <w:p w14:paraId="0ED36617" w14:textId="73550629" w:rsidR="00A95138" w:rsidRPr="00A95138" w:rsidRDefault="00A95138" w:rsidP="00A95138">
      <w:pPr>
        <w:ind w:firstLine="284"/>
        <w:rPr>
          <w:rFonts w:cs="Times New Roman"/>
          <w:iCs/>
          <w:szCs w:val="18"/>
        </w:rPr>
      </w:pPr>
      <w:r>
        <w:lastRenderedPageBreak/>
        <w:t>Unit 4 The clinical work: from the request to the definition of development goals.</w:t>
      </w:r>
    </w:p>
    <w:p w14:paraId="5F004AFC" w14:textId="58E82C76" w:rsidR="00A95138" w:rsidRDefault="00A95138" w:rsidP="00A95138">
      <w:pPr>
        <w:ind w:firstLine="284"/>
        <w:rPr>
          <w:rFonts w:cs="Times New Roman"/>
          <w:iCs/>
          <w:szCs w:val="18"/>
        </w:rPr>
      </w:pPr>
      <w:r>
        <w:t xml:space="preserve">Unit 5 Taking care of the clinical relationship: conditions and feasibility. </w:t>
      </w:r>
    </w:p>
    <w:p w14:paraId="312A74C9" w14:textId="5E152B65" w:rsidR="001074E1" w:rsidRDefault="001074E1" w:rsidP="00C1134F">
      <w:pPr>
        <w:spacing w:before="120"/>
        <w:rPr>
          <w:rFonts w:cs="Times New Roman"/>
          <w:i/>
          <w:szCs w:val="18"/>
        </w:rPr>
      </w:pPr>
      <w:r>
        <w:rPr>
          <w:i/>
        </w:rPr>
        <w:t>MODULE 2 The contexts and the actors involved in the clinical interview</w:t>
      </w:r>
    </w:p>
    <w:p w14:paraId="3F106FE0" w14:textId="53728F17" w:rsidR="008110CA" w:rsidRDefault="008110CA" w:rsidP="008110CA">
      <w:pPr>
        <w:ind w:firstLine="284"/>
        <w:rPr>
          <w:rFonts w:cs="Times New Roman"/>
          <w:iCs/>
          <w:szCs w:val="18"/>
        </w:rPr>
      </w:pPr>
      <w:r>
        <w:t>Unit 1 The interview in the different clinical contexts.</w:t>
      </w:r>
    </w:p>
    <w:p w14:paraId="461BBCE5" w14:textId="658586C8" w:rsidR="001074E1" w:rsidRPr="00C1134F" w:rsidRDefault="008110CA" w:rsidP="00C1134F">
      <w:pPr>
        <w:ind w:firstLine="284"/>
        <w:rPr>
          <w:rFonts w:cs="Times New Roman"/>
          <w:iCs/>
          <w:szCs w:val="18"/>
        </w:rPr>
      </w:pPr>
      <w:r>
        <w:t>Unit 2 The clinical interview in the different phases of the life cycle.</w:t>
      </w:r>
    </w:p>
    <w:p w14:paraId="42F8E669" w14:textId="77777777" w:rsidR="00A95138" w:rsidRPr="00685255" w:rsidRDefault="00A95138" w:rsidP="00A95138">
      <w:pPr>
        <w:pStyle w:val="Titolo2"/>
        <w:pBdr>
          <w:bar w:val="none" w:sz="0" w:color="auto"/>
        </w:pBdr>
        <w:tabs>
          <w:tab w:val="left" w:pos="284"/>
        </w:tabs>
        <w:spacing w:before="240" w:after="120" w:line="240" w:lineRule="auto"/>
        <w:rPr>
          <w:rFonts w:ascii="Times New Roman" w:eastAsia="Times" w:hAnsi="Times New Roman" w:cs="Times New Roman"/>
          <w:b/>
          <w:i/>
          <w:bdr w:val="none" w:sz="0" w:space="0" w:color="auto"/>
          <w:lang w:val="it-IT"/>
        </w:rPr>
      </w:pPr>
      <w:bookmarkStart w:id="1" w:name="_Hlk40439515"/>
      <w:r w:rsidRPr="00685255">
        <w:rPr>
          <w:rFonts w:ascii="Times New Roman" w:hAnsi="Times New Roman"/>
          <w:b/>
          <w:i/>
          <w:bdr w:val="none" w:sz="0" w:space="0" w:color="auto"/>
          <w:lang w:val="it-IT"/>
        </w:rPr>
        <w:t>READING LIST</w:t>
      </w:r>
    </w:p>
    <w:bookmarkEnd w:id="1"/>
    <w:p w14:paraId="67846D15" w14:textId="58F422C9" w:rsidR="00740B2E" w:rsidRPr="008F26C1" w:rsidRDefault="00C1134F" w:rsidP="00A95138">
      <w:pPr>
        <w:ind w:left="284" w:hanging="284"/>
        <w:rPr>
          <w:rFonts w:cs="Times New Roman"/>
          <w:iCs/>
          <w:sz w:val="18"/>
          <w:szCs w:val="18"/>
          <w:lang w:val="it-IT"/>
        </w:rPr>
      </w:pPr>
      <w:r w:rsidRPr="00685255">
        <w:rPr>
          <w:smallCaps/>
          <w:sz w:val="16"/>
          <w:lang w:val="it-IT"/>
        </w:rPr>
        <w:t xml:space="preserve">F. Del Corno-M. </w:t>
      </w:r>
      <w:r w:rsidRPr="008F26C1">
        <w:rPr>
          <w:smallCaps/>
          <w:sz w:val="16"/>
          <w:lang w:val="it-IT"/>
        </w:rPr>
        <w:t>Lang</w:t>
      </w:r>
      <w:r w:rsidRPr="008F26C1">
        <w:rPr>
          <w:sz w:val="16"/>
          <w:lang w:val="it-IT"/>
        </w:rPr>
        <w:t xml:space="preserve"> </w:t>
      </w:r>
      <w:r w:rsidRPr="008F26C1">
        <w:rPr>
          <w:sz w:val="18"/>
          <w:lang w:val="it-IT"/>
        </w:rPr>
        <w:t xml:space="preserve">(edited by), </w:t>
      </w:r>
      <w:r w:rsidRPr="008F26C1">
        <w:rPr>
          <w:i/>
          <w:sz w:val="18"/>
          <w:lang w:val="it-IT"/>
        </w:rPr>
        <w:t>La relazione con il paziente</w:t>
      </w:r>
      <w:r w:rsidRPr="008F26C1">
        <w:rPr>
          <w:sz w:val="18"/>
          <w:lang w:val="it-IT"/>
        </w:rPr>
        <w:t>. FrancoAngeli, Milan, 2022</w:t>
      </w:r>
    </w:p>
    <w:p w14:paraId="60DF3C6C" w14:textId="2F0BB5BF" w:rsidR="00740B2E" w:rsidRPr="008F26C1" w:rsidRDefault="00C1134F" w:rsidP="00740B2E">
      <w:pPr>
        <w:ind w:left="284" w:hanging="284"/>
        <w:rPr>
          <w:rFonts w:cs="Times New Roman"/>
          <w:iCs/>
          <w:sz w:val="18"/>
          <w:szCs w:val="18"/>
          <w:lang w:val="it-IT"/>
        </w:rPr>
      </w:pPr>
      <w:r w:rsidRPr="008F26C1">
        <w:rPr>
          <w:smallCaps/>
          <w:sz w:val="16"/>
          <w:lang w:val="it-IT"/>
        </w:rPr>
        <w:t>F. Del Corno-M. Lang-F. Menozzi</w:t>
      </w:r>
      <w:r w:rsidRPr="008F26C1">
        <w:rPr>
          <w:sz w:val="18"/>
          <w:lang w:val="it-IT"/>
        </w:rPr>
        <w:t xml:space="preserve">, </w:t>
      </w:r>
      <w:r w:rsidRPr="008F26C1">
        <w:rPr>
          <w:i/>
          <w:sz w:val="18"/>
          <w:lang w:val="it-IT"/>
        </w:rPr>
        <w:t>Modelli di colloquio in psicologia clinica</w:t>
      </w:r>
      <w:r w:rsidRPr="008F26C1">
        <w:rPr>
          <w:sz w:val="18"/>
          <w:lang w:val="it-IT"/>
        </w:rPr>
        <w:t>, FrancoAngeli, Milan, 2017</w:t>
      </w:r>
    </w:p>
    <w:p w14:paraId="6FDAFF08" w14:textId="3559E7A3" w:rsidR="00A95138" w:rsidRPr="008F26C1" w:rsidRDefault="00C1134F" w:rsidP="00A95138">
      <w:pPr>
        <w:ind w:left="284" w:hanging="284"/>
        <w:rPr>
          <w:rFonts w:cs="Times New Roman"/>
          <w:iCs/>
          <w:sz w:val="18"/>
          <w:szCs w:val="18"/>
          <w:lang w:val="it-IT"/>
        </w:rPr>
      </w:pPr>
      <w:r w:rsidRPr="008F26C1">
        <w:rPr>
          <w:smallCaps/>
          <w:sz w:val="16"/>
          <w:lang w:val="it-IT"/>
        </w:rPr>
        <w:t>A. Lis-P. Venuti-M.R. De Zordo</w:t>
      </w:r>
      <w:r w:rsidRPr="008F26C1">
        <w:rPr>
          <w:sz w:val="18"/>
          <w:lang w:val="it-IT"/>
        </w:rPr>
        <w:t xml:space="preserve">, </w:t>
      </w:r>
      <w:r w:rsidRPr="008F26C1">
        <w:rPr>
          <w:i/>
          <w:sz w:val="18"/>
          <w:lang w:val="it-IT"/>
        </w:rPr>
        <w:t>Il colloquio come strumento psicologico. Ricerca diagnosi terapia,</w:t>
      </w:r>
      <w:r w:rsidRPr="008F26C1">
        <w:rPr>
          <w:sz w:val="18"/>
          <w:lang w:val="it-IT"/>
        </w:rPr>
        <w:t xml:space="preserve"> Giunti, Florence, 1995.</w:t>
      </w:r>
    </w:p>
    <w:p w14:paraId="2F020BA1" w14:textId="5FDBEA43" w:rsidR="007C4702" w:rsidRPr="008F26C1" w:rsidRDefault="00C1134F" w:rsidP="005A0776">
      <w:pPr>
        <w:ind w:left="284" w:hanging="284"/>
        <w:rPr>
          <w:rFonts w:cs="Times New Roman"/>
          <w:iCs/>
          <w:sz w:val="18"/>
          <w:szCs w:val="18"/>
          <w:lang w:val="it-IT"/>
        </w:rPr>
      </w:pPr>
      <w:r w:rsidRPr="008F26C1">
        <w:rPr>
          <w:smallCaps/>
          <w:sz w:val="16"/>
          <w:lang w:val="it-IT"/>
        </w:rPr>
        <w:t>R. Pani-S. Sagliaschi</w:t>
      </w:r>
      <w:r w:rsidRPr="008F26C1">
        <w:rPr>
          <w:sz w:val="18"/>
          <w:lang w:val="it-IT"/>
        </w:rPr>
        <w:t xml:space="preserve">, </w:t>
      </w:r>
      <w:r w:rsidRPr="008F26C1">
        <w:rPr>
          <w:i/>
          <w:sz w:val="18"/>
          <w:lang w:val="it-IT"/>
        </w:rPr>
        <w:t>Dinamiche e strategie del colloquio clinico</w:t>
      </w:r>
      <w:r w:rsidRPr="008F26C1">
        <w:rPr>
          <w:sz w:val="18"/>
          <w:lang w:val="it-IT"/>
        </w:rPr>
        <w:t>, Carocci, Rome, 2006.</w:t>
      </w:r>
      <w:r w:rsidRPr="008F26C1">
        <w:rPr>
          <w:lang w:val="it-IT"/>
        </w:rPr>
        <w:t xml:space="preserve"> </w:t>
      </w:r>
      <w:r w:rsidRPr="008F26C1">
        <w:rPr>
          <w:smallCaps/>
          <w:sz w:val="16"/>
          <w:lang w:val="it-IT"/>
        </w:rPr>
        <w:t>G. Sangiorgi</w:t>
      </w:r>
      <w:r w:rsidRPr="008F26C1">
        <w:rPr>
          <w:sz w:val="16"/>
          <w:lang w:val="it-IT"/>
        </w:rPr>
        <w:t xml:space="preserve"> </w:t>
      </w:r>
      <w:r w:rsidRPr="008F26C1">
        <w:rPr>
          <w:sz w:val="18"/>
          <w:lang w:val="it-IT"/>
        </w:rPr>
        <w:t xml:space="preserve">(edited by), </w:t>
      </w:r>
      <w:r w:rsidRPr="008F26C1">
        <w:rPr>
          <w:i/>
          <w:sz w:val="18"/>
          <w:lang w:val="it-IT"/>
        </w:rPr>
        <w:t>Contratti psicologici. Aspettative, vincoli e legami impliciti nelle relazioni</w:t>
      </w:r>
      <w:r w:rsidRPr="008F26C1">
        <w:rPr>
          <w:sz w:val="18"/>
          <w:lang w:val="it-IT"/>
        </w:rPr>
        <w:t>, FrancoAngeli, Milan, 2009</w:t>
      </w:r>
    </w:p>
    <w:p w14:paraId="2F437750" w14:textId="523452E3" w:rsidR="00A95138" w:rsidRPr="00663648" w:rsidRDefault="007C4702" w:rsidP="00C1134F">
      <w:pPr>
        <w:spacing w:before="120"/>
        <w:ind w:firstLine="284"/>
        <w:rPr>
          <w:rFonts w:cs="Times New Roman"/>
          <w:iCs/>
          <w:sz w:val="18"/>
          <w:szCs w:val="18"/>
        </w:rPr>
      </w:pPr>
      <w:r>
        <w:rPr>
          <w:sz w:val="18"/>
        </w:rPr>
        <w:t xml:space="preserve">The parts of the textbooks that students will have to study for the final exam will be indicated in class. </w:t>
      </w:r>
    </w:p>
    <w:p w14:paraId="4A45138D" w14:textId="77777777" w:rsidR="00A95138" w:rsidRPr="00A95138" w:rsidRDefault="00A95138" w:rsidP="00A95138">
      <w:pPr>
        <w:pStyle w:val="Titolo2"/>
        <w:pBdr>
          <w:bar w:val="none" w:sz="0" w:color="auto"/>
        </w:pBdr>
        <w:tabs>
          <w:tab w:val="left" w:pos="284"/>
        </w:tabs>
        <w:spacing w:before="240" w:after="120" w:line="240" w:lineRule="auto"/>
        <w:rPr>
          <w:rFonts w:ascii="Times New Roman" w:eastAsia="Times" w:hAnsi="Times New Roman" w:cs="Times New Roman"/>
          <w:b/>
          <w:i/>
          <w:bdr w:val="none" w:sz="0" w:space="0" w:color="auto"/>
        </w:rPr>
      </w:pPr>
      <w:r>
        <w:rPr>
          <w:rFonts w:ascii="Times New Roman" w:hAnsi="Times New Roman"/>
          <w:b/>
          <w:i/>
          <w:bdr w:val="none" w:sz="0" w:space="0" w:color="auto"/>
        </w:rPr>
        <w:t>TEACHING METHOD</w:t>
      </w:r>
    </w:p>
    <w:p w14:paraId="570BD9BE" w14:textId="1D4D018B" w:rsidR="00A95138" w:rsidRPr="00663648" w:rsidRDefault="00A95138" w:rsidP="00A95138">
      <w:pPr>
        <w:pBdr>
          <w:top w:val="none" w:sz="0" w:space="0" w:color="auto"/>
          <w:left w:val="none" w:sz="0" w:space="0" w:color="auto"/>
          <w:bottom w:val="none" w:sz="0" w:space="0" w:color="auto"/>
          <w:right w:val="none" w:sz="0" w:space="0" w:color="auto"/>
          <w:between w:val="none" w:sz="0" w:space="0" w:color="auto"/>
          <w:bar w:val="none" w:sz="0" w:color="auto"/>
        </w:pBdr>
        <w:ind w:right="21" w:firstLine="284"/>
        <w:rPr>
          <w:rFonts w:cs="Times New Roman"/>
          <w:color w:val="auto"/>
          <w:sz w:val="18"/>
          <w:szCs w:val="18"/>
          <w:bdr w:val="none" w:sz="0" w:space="0" w:color="auto"/>
        </w:rPr>
      </w:pPr>
      <w:r>
        <w:rPr>
          <w:color w:val="auto"/>
          <w:sz w:val="18"/>
          <w:bdr w:val="none" w:sz="0" w:space="0" w:color="auto"/>
        </w:rPr>
        <w:t>The course aims and the different parts of the course content, including the reading list, will be illustrated at the beginning of the course.</w:t>
      </w:r>
    </w:p>
    <w:p w14:paraId="7CAD3FD6" w14:textId="4602B61B" w:rsidR="00A95138" w:rsidRPr="00663648" w:rsidRDefault="00A95138" w:rsidP="00A95138">
      <w:pPr>
        <w:pBdr>
          <w:top w:val="none" w:sz="0" w:space="0" w:color="auto"/>
          <w:left w:val="none" w:sz="0" w:space="0" w:color="auto"/>
          <w:bottom w:val="none" w:sz="0" w:space="0" w:color="auto"/>
          <w:right w:val="none" w:sz="0" w:space="0" w:color="auto"/>
          <w:between w:val="none" w:sz="0" w:space="0" w:color="auto"/>
          <w:bar w:val="none" w:sz="0" w:color="auto"/>
        </w:pBdr>
        <w:ind w:right="21" w:firstLine="284"/>
        <w:rPr>
          <w:rFonts w:cs="Times New Roman"/>
          <w:color w:val="auto"/>
          <w:sz w:val="18"/>
          <w:szCs w:val="18"/>
          <w:bdr w:val="none" w:sz="0" w:space="0" w:color="auto"/>
        </w:rPr>
      </w:pPr>
      <w:r>
        <w:rPr>
          <w:color w:val="auto"/>
          <w:sz w:val="18"/>
          <w:bdr w:val="none" w:sz="0" w:space="0" w:color="auto"/>
        </w:rPr>
        <w:t>The frontal lectures, held in class, will be based on a methodology promoting a constant dialogue, also through the creation of small groups and specific practical activities, and the discussion of case studies taken from literature and the clinical practice. These discussions will include oral presentations, to be carried out in groups, and technical-theoretical systematisations, according to the students’ needs.</w:t>
      </w:r>
    </w:p>
    <w:p w14:paraId="1D76F193" w14:textId="77777777" w:rsidR="00A95138" w:rsidRPr="00A95138" w:rsidRDefault="00A95138" w:rsidP="00A95138">
      <w:pPr>
        <w:pStyle w:val="Titolo2"/>
        <w:pBdr>
          <w:bar w:val="none" w:sz="0" w:color="auto"/>
        </w:pBdr>
        <w:tabs>
          <w:tab w:val="left" w:pos="284"/>
        </w:tabs>
        <w:spacing w:before="240" w:after="120" w:line="240" w:lineRule="auto"/>
        <w:rPr>
          <w:rFonts w:ascii="Times New Roman" w:eastAsia="Times" w:hAnsi="Times New Roman" w:cs="Times New Roman"/>
          <w:b/>
          <w:i/>
          <w:bdr w:val="none" w:sz="0" w:space="0" w:color="auto"/>
        </w:rPr>
      </w:pPr>
      <w:bookmarkStart w:id="2" w:name="_Hlk40439679"/>
      <w:r>
        <w:rPr>
          <w:rFonts w:ascii="Times New Roman" w:hAnsi="Times New Roman"/>
          <w:b/>
          <w:i/>
          <w:bdr w:val="none" w:sz="0" w:space="0" w:color="auto"/>
        </w:rPr>
        <w:t>ASSESSMENT</w:t>
      </w:r>
      <w:bookmarkEnd w:id="2"/>
      <w:r>
        <w:rPr>
          <w:rFonts w:ascii="Times New Roman" w:hAnsi="Times New Roman"/>
          <w:b/>
          <w:i/>
          <w:bdr w:val="none" w:sz="0" w:space="0" w:color="auto"/>
        </w:rPr>
        <w:t xml:space="preserve">METHOD AND CRITERIA </w:t>
      </w:r>
    </w:p>
    <w:p w14:paraId="771E5F8D" w14:textId="6FB84623" w:rsidR="00A95138" w:rsidRPr="00663648" w:rsidRDefault="00A95138" w:rsidP="00A95138">
      <w:pPr>
        <w:ind w:firstLine="284"/>
        <w:rPr>
          <w:rFonts w:cs="Times New Roman"/>
          <w:iCs/>
          <w:sz w:val="18"/>
          <w:szCs w:val="18"/>
        </w:rPr>
      </w:pPr>
      <w:r>
        <w:rPr>
          <w:sz w:val="18"/>
        </w:rPr>
        <w:t>The final exam will consist in the writing of a paper based on a clinical case, followed by a written question on the theoreti</w:t>
      </w:r>
      <w:r w:rsidR="00C4417A">
        <w:rPr>
          <w:sz w:val="18"/>
        </w:rPr>
        <w:t xml:space="preserve">cal parts of the reading list. </w:t>
      </w:r>
      <w:r>
        <w:rPr>
          <w:sz w:val="18"/>
        </w:rPr>
        <w:t>Assessment criteria:</w:t>
      </w:r>
    </w:p>
    <w:p w14:paraId="6344AB8B" w14:textId="35AE9E81" w:rsidR="00A95138" w:rsidRPr="00663648" w:rsidRDefault="00A95138" w:rsidP="00A95138">
      <w:pPr>
        <w:ind w:firstLine="284"/>
        <w:rPr>
          <w:rFonts w:cs="Times New Roman"/>
          <w:iCs/>
          <w:sz w:val="18"/>
          <w:szCs w:val="18"/>
        </w:rPr>
      </w:pPr>
      <w:r>
        <w:rPr>
          <w:sz w:val="18"/>
        </w:rPr>
        <w:t>1)</w:t>
      </w:r>
      <w:r>
        <w:rPr>
          <w:sz w:val="18"/>
        </w:rPr>
        <w:tab/>
        <w:t xml:space="preserve">the understanding of the key interpretations of the case; </w:t>
      </w:r>
    </w:p>
    <w:p w14:paraId="5C75CF22" w14:textId="2B563E23" w:rsidR="00A95138" w:rsidRPr="00663648" w:rsidRDefault="00A95138" w:rsidP="00A95138">
      <w:pPr>
        <w:ind w:firstLine="284"/>
        <w:rPr>
          <w:rFonts w:cs="Times New Roman"/>
          <w:iCs/>
          <w:sz w:val="18"/>
          <w:szCs w:val="18"/>
        </w:rPr>
      </w:pPr>
      <w:r>
        <w:rPr>
          <w:sz w:val="18"/>
        </w:rPr>
        <w:t>2)</w:t>
      </w:r>
      <w:r>
        <w:rPr>
          <w:sz w:val="18"/>
        </w:rPr>
        <w:tab/>
        <w:t>the ability to use the topics explained during the course, the connections between them, as well as the tools introduced and developed in class.</w:t>
      </w:r>
    </w:p>
    <w:p w14:paraId="2E982AD0" w14:textId="58699839" w:rsidR="00A95138" w:rsidRPr="00663648" w:rsidRDefault="00A95138" w:rsidP="00A95138">
      <w:pPr>
        <w:ind w:firstLine="284"/>
        <w:rPr>
          <w:rFonts w:cs="Times New Roman"/>
          <w:iCs/>
          <w:sz w:val="18"/>
          <w:szCs w:val="18"/>
        </w:rPr>
      </w:pPr>
      <w:r>
        <w:rPr>
          <w:sz w:val="18"/>
        </w:rPr>
        <w:t xml:space="preserve">3) </w:t>
      </w:r>
      <w:r>
        <w:rPr>
          <w:sz w:val="18"/>
        </w:rPr>
        <w:tab/>
        <w:t xml:space="preserve">the argumentative skills applied to the different questions raised by the clinical case. </w:t>
      </w:r>
    </w:p>
    <w:p w14:paraId="1EAF30C7" w14:textId="63790680" w:rsidR="00A95138" w:rsidRPr="00663648" w:rsidRDefault="00A95138" w:rsidP="00A95138">
      <w:pPr>
        <w:ind w:firstLine="284"/>
        <w:rPr>
          <w:rFonts w:cs="Times New Roman"/>
          <w:iCs/>
          <w:sz w:val="18"/>
          <w:szCs w:val="18"/>
        </w:rPr>
      </w:pPr>
      <w:r>
        <w:rPr>
          <w:sz w:val="18"/>
        </w:rPr>
        <w:t xml:space="preserve">The final mark will result from the sum of the practical and theoretical contents articulated by students during the written exam, so that it can be equal to 30/30. The highest mark 30 cum laude (with honours) will be assigned depending on the structural coherence, the completeness, and the argumentative skills shown in the analysis of the case. In addition, in </w:t>
      </w:r>
      <w:r>
        <w:rPr>
          <w:sz w:val="18"/>
        </w:rPr>
        <w:lastRenderedPageBreak/>
        <w:t>order to assess the newly-acquired skills, students will have to take an oral exam consisting in a discussion based on the results obtained.</w:t>
      </w:r>
    </w:p>
    <w:p w14:paraId="41EEF325" w14:textId="77777777" w:rsidR="00A95138" w:rsidRPr="00A95138" w:rsidRDefault="00A95138" w:rsidP="00A95138">
      <w:pPr>
        <w:pStyle w:val="Titolo2"/>
        <w:pBdr>
          <w:bar w:val="none" w:sz="0" w:color="auto"/>
        </w:pBdr>
        <w:tabs>
          <w:tab w:val="left" w:pos="284"/>
        </w:tabs>
        <w:spacing w:before="240" w:after="120" w:line="240" w:lineRule="auto"/>
        <w:rPr>
          <w:rFonts w:ascii="Times New Roman" w:eastAsia="Times" w:hAnsi="Times New Roman" w:cs="Times New Roman"/>
          <w:b/>
          <w:i/>
          <w:bdr w:val="none" w:sz="0" w:space="0" w:color="auto"/>
        </w:rPr>
      </w:pPr>
      <w:r>
        <w:rPr>
          <w:rFonts w:ascii="Times New Roman" w:hAnsi="Times New Roman"/>
          <w:b/>
          <w:i/>
          <w:bdr w:val="none" w:sz="0" w:space="0" w:color="auto"/>
        </w:rPr>
        <w:t>NOTES AND PREREQUISITES</w:t>
      </w:r>
    </w:p>
    <w:p w14:paraId="06F2BCC5" w14:textId="13E92065" w:rsidR="00A95138" w:rsidRPr="00663648" w:rsidRDefault="00A95138" w:rsidP="00A95138">
      <w:pPr>
        <w:ind w:firstLine="284"/>
        <w:rPr>
          <w:rFonts w:cs="Times New Roman"/>
          <w:iCs/>
          <w:sz w:val="18"/>
          <w:szCs w:val="18"/>
        </w:rPr>
      </w:pPr>
      <w:r>
        <w:rPr>
          <w:sz w:val="18"/>
        </w:rPr>
        <w:t xml:space="preserve">The students who cannot attend classes must promptly inform the lecturers (no later than one month after the beginning of the course), in order to define </w:t>
      </w:r>
      <w:r w:rsidR="005A0776">
        <w:rPr>
          <w:sz w:val="18"/>
        </w:rPr>
        <w:t>how</w:t>
      </w:r>
      <w:r>
        <w:rPr>
          <w:sz w:val="18"/>
        </w:rPr>
        <w:t xml:space="preserve"> to prepare</w:t>
      </w:r>
      <w:r w:rsidR="005A0776">
        <w:rPr>
          <w:sz w:val="18"/>
        </w:rPr>
        <w:t xml:space="preserve"> for</w:t>
      </w:r>
      <w:r>
        <w:rPr>
          <w:sz w:val="18"/>
        </w:rPr>
        <w:t xml:space="preserve"> the final exam.</w:t>
      </w:r>
    </w:p>
    <w:p w14:paraId="29407B61" w14:textId="77777777" w:rsidR="00A95138" w:rsidRPr="00663648" w:rsidRDefault="00A95138" w:rsidP="00A95138">
      <w:pPr>
        <w:ind w:firstLine="284"/>
        <w:rPr>
          <w:rFonts w:cs="Times New Roman"/>
          <w:iCs/>
          <w:sz w:val="18"/>
          <w:szCs w:val="18"/>
        </w:rPr>
      </w:pPr>
      <w:r>
        <w:rPr>
          <w:sz w:val="18"/>
        </w:rPr>
        <w:t xml:space="preserve">Students should have a basic knowledge of: clinical psychology, dynamic psychology, developmental psychology, and demand analysis.   </w:t>
      </w:r>
    </w:p>
    <w:p w14:paraId="446FC59D" w14:textId="58DB8FE2" w:rsidR="00A95138" w:rsidRDefault="00A95138" w:rsidP="00C1134F">
      <w:pPr>
        <w:ind w:firstLine="284"/>
        <w:rPr>
          <w:sz w:val="18"/>
        </w:rPr>
      </w:pPr>
      <w:r>
        <w:rPr>
          <w:sz w:val="18"/>
        </w:rPr>
        <w:t xml:space="preserve">There will be no difference between attending and non-attending students in terms of reading list, since the latter will </w:t>
      </w:r>
      <w:r w:rsidR="005A0776">
        <w:rPr>
          <w:sz w:val="18"/>
        </w:rPr>
        <w:t>have</w:t>
      </w:r>
      <w:r>
        <w:rPr>
          <w:sz w:val="18"/>
        </w:rPr>
        <w:t xml:space="preserve"> access to the teaching material used during the course.</w:t>
      </w:r>
    </w:p>
    <w:p w14:paraId="64C965EA" w14:textId="0EFAD931" w:rsidR="008F26C1" w:rsidRPr="00685255" w:rsidRDefault="008F26C1" w:rsidP="00C1134F">
      <w:pPr>
        <w:ind w:firstLine="284"/>
        <w:rPr>
          <w:rFonts w:cs="Times New Roman"/>
          <w:iCs/>
          <w:color w:val="auto"/>
          <w:sz w:val="18"/>
          <w:szCs w:val="18"/>
        </w:rPr>
      </w:pPr>
      <w:r w:rsidRPr="00685255">
        <w:rPr>
          <w:color w:val="auto"/>
          <w:sz w:val="18"/>
          <w:szCs w:val="18"/>
        </w:rPr>
        <w:t>In case the current Covid-19 health emergency does not allow frontal teaching, remote teaching will be carried out following procedures that will be promptly notified to students.</w:t>
      </w:r>
    </w:p>
    <w:p w14:paraId="67F7EA9D" w14:textId="77777777" w:rsidR="006E2382" w:rsidRPr="00777776" w:rsidRDefault="006E2382" w:rsidP="006E2382">
      <w:pPr>
        <w:pStyle w:val="Testo2"/>
        <w:spacing w:before="120"/>
        <w:rPr>
          <w:i/>
        </w:rPr>
      </w:pPr>
      <w:r>
        <w:t>Further information can be found on the lecturer's webpage at http://docenti.unicatt.it/web/searchByName.do?language=ENG or on the Faculty notice board.</w:t>
      </w:r>
    </w:p>
    <w:p w14:paraId="1B5BD315" w14:textId="394A06E9" w:rsidR="00A95138" w:rsidRPr="00663648" w:rsidRDefault="00A95138" w:rsidP="006E2382">
      <w:pPr>
        <w:spacing w:before="120"/>
        <w:ind w:firstLine="284"/>
        <w:rPr>
          <w:rFonts w:cs="Times New Roman"/>
          <w:iCs/>
          <w:sz w:val="18"/>
          <w:szCs w:val="18"/>
        </w:rPr>
      </w:pPr>
    </w:p>
    <w:sectPr w:rsidR="00A95138" w:rsidRPr="00663648" w:rsidSect="00AA4B3F">
      <w:headerReference w:type="default" r:id="rId6"/>
      <w:footerReference w:type="default" r:id="rId7"/>
      <w:pgSz w:w="11900" w:h="16840"/>
      <w:pgMar w:top="3515" w:right="2608" w:bottom="3261"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0EA0" w14:textId="77777777" w:rsidR="00B428B1" w:rsidRDefault="00B428B1">
      <w:pPr>
        <w:spacing w:line="240" w:lineRule="auto"/>
      </w:pPr>
      <w:r>
        <w:separator/>
      </w:r>
    </w:p>
  </w:endnote>
  <w:endnote w:type="continuationSeparator" w:id="0">
    <w:p w14:paraId="45C7CF77" w14:textId="77777777" w:rsidR="00B428B1" w:rsidRDefault="00B42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4247" w14:textId="77777777" w:rsidR="00AA4B3F" w:rsidRDefault="00AA4B3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92D9" w14:textId="77777777" w:rsidR="00B428B1" w:rsidRDefault="00B428B1">
      <w:pPr>
        <w:spacing w:line="240" w:lineRule="auto"/>
      </w:pPr>
      <w:r>
        <w:separator/>
      </w:r>
    </w:p>
  </w:footnote>
  <w:footnote w:type="continuationSeparator" w:id="0">
    <w:p w14:paraId="41576FAD" w14:textId="77777777" w:rsidR="00B428B1" w:rsidRDefault="00B42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4C63" w14:textId="77777777" w:rsidR="00AA4B3F" w:rsidRDefault="00AA4B3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3F"/>
    <w:rsid w:val="0008053D"/>
    <w:rsid w:val="00092001"/>
    <w:rsid w:val="000C3EB8"/>
    <w:rsid w:val="001074E1"/>
    <w:rsid w:val="00127759"/>
    <w:rsid w:val="001F5E96"/>
    <w:rsid w:val="002C177A"/>
    <w:rsid w:val="002E3557"/>
    <w:rsid w:val="003D6513"/>
    <w:rsid w:val="003F1BA3"/>
    <w:rsid w:val="004A173A"/>
    <w:rsid w:val="004A5992"/>
    <w:rsid w:val="004B362C"/>
    <w:rsid w:val="00514D00"/>
    <w:rsid w:val="0053796D"/>
    <w:rsid w:val="00556F3C"/>
    <w:rsid w:val="005A0776"/>
    <w:rsid w:val="00663648"/>
    <w:rsid w:val="00685255"/>
    <w:rsid w:val="006D5518"/>
    <w:rsid w:val="006E2382"/>
    <w:rsid w:val="0074037D"/>
    <w:rsid w:val="00740B2E"/>
    <w:rsid w:val="007B190F"/>
    <w:rsid w:val="007C4702"/>
    <w:rsid w:val="00806F27"/>
    <w:rsid w:val="008110CA"/>
    <w:rsid w:val="00834CD1"/>
    <w:rsid w:val="008D0BD6"/>
    <w:rsid w:val="008F26C1"/>
    <w:rsid w:val="009123BE"/>
    <w:rsid w:val="009939B5"/>
    <w:rsid w:val="009B55F0"/>
    <w:rsid w:val="00A11D7D"/>
    <w:rsid w:val="00A538E7"/>
    <w:rsid w:val="00A95138"/>
    <w:rsid w:val="00AA4B3F"/>
    <w:rsid w:val="00B0613B"/>
    <w:rsid w:val="00B32F19"/>
    <w:rsid w:val="00B428B1"/>
    <w:rsid w:val="00B4643A"/>
    <w:rsid w:val="00C1134F"/>
    <w:rsid w:val="00C4417A"/>
    <w:rsid w:val="00C83508"/>
    <w:rsid w:val="00DB1DD4"/>
    <w:rsid w:val="00E22533"/>
    <w:rsid w:val="00EE54F9"/>
    <w:rsid w:val="00FE0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12699"/>
  <w14:defaultImageDpi w14:val="300"/>
  <w15:chartTrackingRefBased/>
  <w15:docId w15:val="{0C8944F7-EE39-404D-BCC4-0F5DB163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4B3F"/>
    <w:pPr>
      <w:pBdr>
        <w:top w:val="nil"/>
        <w:left w:val="nil"/>
        <w:bottom w:val="nil"/>
        <w:right w:val="nil"/>
        <w:between w:val="nil"/>
        <w:bar w:val="nil"/>
      </w:pBdr>
      <w:spacing w:line="240" w:lineRule="exact"/>
      <w:jc w:val="both"/>
    </w:pPr>
    <w:rPr>
      <w:rFonts w:ascii="Times New Roman" w:eastAsia="Arial Unicode MS" w:hAnsi="Times New Roman" w:cs="Arial Unicode MS"/>
      <w:color w:val="000000"/>
      <w:u w:color="000000"/>
      <w:bdr w:val="nil"/>
    </w:rPr>
  </w:style>
  <w:style w:type="paragraph" w:styleId="Titolo1">
    <w:name w:val="heading 1"/>
    <w:next w:val="Titolo2"/>
    <w:link w:val="Titolo1Carattere"/>
    <w:qFormat/>
    <w:rsid w:val="00AA4B3F"/>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paragraph" w:styleId="Titolo2">
    <w:name w:val="heading 2"/>
    <w:next w:val="Titolo3"/>
    <w:link w:val="Titolo2Carattere"/>
    <w:qFormat/>
    <w:rsid w:val="00AA4B3F"/>
    <w:pPr>
      <w:pBdr>
        <w:top w:val="nil"/>
        <w:left w:val="nil"/>
        <w:bottom w:val="nil"/>
        <w:right w:val="nil"/>
        <w:between w:val="nil"/>
        <w:bar w:val="nil"/>
      </w:pBdr>
      <w:spacing w:line="240" w:lineRule="exact"/>
      <w:jc w:val="both"/>
      <w:outlineLvl w:val="1"/>
    </w:pPr>
    <w:rPr>
      <w:rFonts w:ascii="Times" w:eastAsia="Arial Unicode MS" w:hAnsi="Times" w:cs="Arial Unicode MS"/>
      <w:smallCaps/>
      <w:color w:val="000000"/>
      <w:sz w:val="18"/>
      <w:szCs w:val="18"/>
      <w:u w:color="000000"/>
      <w:bdr w:val="nil"/>
    </w:rPr>
  </w:style>
  <w:style w:type="paragraph" w:styleId="Titolo3">
    <w:name w:val="heading 3"/>
    <w:basedOn w:val="Normale"/>
    <w:next w:val="Normale"/>
    <w:link w:val="Titolo3Carattere"/>
    <w:uiPriority w:val="9"/>
    <w:qFormat/>
    <w:rsid w:val="00AA4B3F"/>
    <w:pPr>
      <w:keepNext/>
      <w:keepLines/>
      <w:spacing w:before="200"/>
      <w:outlineLvl w:val="2"/>
    </w:pPr>
    <w:rPr>
      <w:rFonts w:ascii="Calibri" w:eastAsia="MS Gothic" w:hAnsi="Calibri"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A4B3F"/>
    <w:rPr>
      <w:rFonts w:ascii="Times" w:eastAsia="Arial Unicode MS" w:hAnsi="Times" w:cs="Arial Unicode MS"/>
      <w:b/>
      <w:bCs/>
      <w:color w:val="000000"/>
      <w:sz w:val="20"/>
      <w:szCs w:val="20"/>
      <w:u w:color="000000"/>
      <w:bdr w:val="nil"/>
    </w:rPr>
  </w:style>
  <w:style w:type="character" w:customStyle="1" w:styleId="Titolo2Carattere">
    <w:name w:val="Titolo 2 Carattere"/>
    <w:link w:val="Titolo2"/>
    <w:rsid w:val="00AA4B3F"/>
    <w:rPr>
      <w:rFonts w:ascii="Times" w:eastAsia="Arial Unicode MS" w:hAnsi="Times" w:cs="Arial Unicode MS"/>
      <w:smallCaps/>
      <w:color w:val="000000"/>
      <w:sz w:val="18"/>
      <w:szCs w:val="18"/>
      <w:u w:color="000000"/>
      <w:bdr w:val="nil"/>
    </w:rPr>
  </w:style>
  <w:style w:type="paragraph" w:customStyle="1" w:styleId="Intestazioneepidipagina">
    <w:name w:val="Intestazione e piè di pagina"/>
    <w:rsid w:val="00AA4B3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Titolo3Carattere">
    <w:name w:val="Titolo 3 Carattere"/>
    <w:link w:val="Titolo3"/>
    <w:uiPriority w:val="9"/>
    <w:semiHidden/>
    <w:rsid w:val="00AA4B3F"/>
    <w:rPr>
      <w:rFonts w:ascii="Calibri" w:eastAsia="MS Gothic" w:hAnsi="Calibri" w:cs="Times New Roman"/>
      <w:b/>
      <w:bCs/>
      <w:color w:val="4F81BD"/>
      <w:sz w:val="20"/>
      <w:szCs w:val="20"/>
      <w:u w:color="000000"/>
      <w:bdr w:val="nil"/>
    </w:rPr>
  </w:style>
  <w:style w:type="paragraph" w:styleId="Paragrafoelenco">
    <w:name w:val="List Paragraph"/>
    <w:basedOn w:val="Normale"/>
    <w:uiPriority w:val="72"/>
    <w:qFormat/>
    <w:rsid w:val="00740B2E"/>
    <w:pPr>
      <w:ind w:left="720"/>
      <w:contextualSpacing/>
    </w:pPr>
  </w:style>
  <w:style w:type="character" w:styleId="Collegamentoipertestuale">
    <w:name w:val="Hyperlink"/>
    <w:basedOn w:val="Carpredefinitoparagrafo"/>
    <w:uiPriority w:val="99"/>
    <w:unhideWhenUsed/>
    <w:rsid w:val="009B55F0"/>
    <w:rPr>
      <w:color w:val="0563C1" w:themeColor="hyperlink"/>
      <w:u w:val="single"/>
    </w:rPr>
  </w:style>
  <w:style w:type="character" w:customStyle="1" w:styleId="UnresolvedMention1">
    <w:name w:val="Unresolved Mention1"/>
    <w:basedOn w:val="Carpredefinitoparagrafo"/>
    <w:uiPriority w:val="99"/>
    <w:semiHidden/>
    <w:unhideWhenUsed/>
    <w:rsid w:val="009B55F0"/>
    <w:rPr>
      <w:color w:val="605E5C"/>
      <w:shd w:val="clear" w:color="auto" w:fill="E1DFDD"/>
    </w:rPr>
  </w:style>
  <w:style w:type="paragraph" w:customStyle="1" w:styleId="P68B1DB1-Normale1">
    <w:name w:val="P68B1DB1-Normale1"/>
    <w:basedOn w:val="Normale"/>
    <w:rsid w:val="006E2382"/>
    <w:rPr>
      <w:rFonts w:ascii="Times" w:eastAsia="Times New Roman" w:hAnsi="Times" w:cs="Times"/>
      <w:b/>
      <w:color w:val="auto"/>
      <w:bdr w:val="none" w:sz="0" w:space="0" w:color="auto"/>
    </w:rPr>
  </w:style>
  <w:style w:type="paragraph" w:customStyle="1" w:styleId="Testo2">
    <w:name w:val="Testo 2"/>
    <w:link w:val="Testo2Carattere"/>
    <w:rsid w:val="006E2382"/>
    <w:pPr>
      <w:tabs>
        <w:tab w:val="left" w:pos="284"/>
      </w:tabs>
      <w:spacing w:line="220" w:lineRule="exact"/>
      <w:ind w:firstLine="284"/>
      <w:jc w:val="both"/>
    </w:pPr>
    <w:rPr>
      <w:rFonts w:ascii="Times" w:eastAsia="Times New Roman" w:hAnsi="Times"/>
      <w:sz w:val="18"/>
    </w:rPr>
  </w:style>
  <w:style w:type="character" w:customStyle="1" w:styleId="Testo2Carattere">
    <w:name w:val="Testo 2 Carattere"/>
    <w:link w:val="Testo2"/>
    <w:rsid w:val="006E2382"/>
    <w:rPr>
      <w:rFonts w:ascii="Times" w:eastAsia="Times New Roman"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805</Words>
  <Characters>4592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di Bergamo</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assistenza informatica</dc:creator>
  <cp:keywords/>
  <cp:lastModifiedBy>Bisello Stefano</cp:lastModifiedBy>
  <cp:revision>8</cp:revision>
  <dcterms:created xsi:type="dcterms:W3CDTF">2022-05-20T09:04:00Z</dcterms:created>
  <dcterms:modified xsi:type="dcterms:W3CDTF">2022-12-05T10:41:00Z</dcterms:modified>
</cp:coreProperties>
</file>